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  <w:jc w:val="left"/>
      </w:pPr>
      <w:r>
        <w:rPr>
          <w:rFonts w:ascii="Arial" w:hAnsi="Arial" w:eastAsia="Arial"/>
          <w:b w:val="0"/>
          <w:color w:val="000000"/>
          <w:sz w:val="52"/>
        </w:rPr>
        <w:t>Политика обеспечения безопасности персональных данных адвокатского кабинета</w:t>
      </w:r>
    </w:p>
    <w:p>
      <w:pPr>
        <w:spacing w:after="280"/>
      </w:pPr>
      <w:r>
        <w:rPr>
          <w:rFonts w:ascii="Arial" w:hAnsi="Arial" w:eastAsia="Arial"/>
          <w:b w:val="0"/>
          <w:color w:val="555555"/>
          <w:sz w:val="24"/>
        </w:rPr>
        <w:t>Адвокат Оксана Петровская · Легал Флоу / LegalFlow Expert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DADCE0"/>
          <w:left w:val="single" w:sz="4" w:space="0" w:color="DADCE0"/>
          <w:bottom w:val="single" w:sz="4" w:space="0" w:color="DADCE0"/>
          <w:right w:val="single" w:sz="4" w:space="0" w:color="DADCE0"/>
          <w:insideH w:val="single" w:sz="4" w:space="0" w:color="DADCE0"/>
          <w:insideV w:val="single" w:sz="4" w:space="0" w:color="DADCE0"/>
        </w:tblBorders>
      </w:tblPr>
      <w:tblGrid>
        <w:gridCol w:w="4680"/>
        <w:gridCol w:w="4680"/>
      </w:tblGrid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r>
              <w:rPr>
                <w:rFonts w:ascii="Arial" w:hAnsi="Arial" w:eastAsia="Arial"/>
                <w:b/>
                <w:color w:val="000000"/>
                <w:sz w:val="22"/>
              </w:rPr>
              <w:t>Статус</w:t>
            </w:r>
          </w:p>
        </w:tc>
        <w:tc>
          <w:tcPr>
            <w:tcW w:type="dxa" w:w="71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color w:val="000000"/>
                <w:sz w:val="22"/>
              </w:rPr>
              <w:t>публичная редакция для сайта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r>
              <w:rPr>
                <w:rFonts w:ascii="Arial" w:hAnsi="Arial" w:eastAsia="Arial"/>
                <w:b/>
                <w:color w:val="000000"/>
                <w:sz w:val="22"/>
              </w:rPr>
              <w:t>Дата редакции</w:t>
            </w:r>
          </w:p>
        </w:tc>
        <w:tc>
          <w:tcPr>
            <w:tcW w:type="dxa" w:w="71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color w:val="000000"/>
                <w:sz w:val="22"/>
              </w:rPr>
              <w:t>30 июня 2026 года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r>
              <w:rPr>
                <w:rFonts w:ascii="Arial" w:hAnsi="Arial" w:eastAsia="Arial"/>
                <w:b/>
                <w:color w:val="000000"/>
                <w:sz w:val="22"/>
              </w:rPr>
              <w:t>Оператор</w:t>
            </w:r>
          </w:p>
        </w:tc>
        <w:tc>
          <w:tcPr>
            <w:tcW w:type="dxa" w:w="71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color w:val="000000"/>
                <w:sz w:val="22"/>
              </w:rPr>
              <w:t>адвокат Оксана Петровская, адвокатский кабинет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r>
              <w:rPr>
                <w:rFonts w:ascii="Arial" w:hAnsi="Arial" w:eastAsia="Arial"/>
                <w:b/>
                <w:color w:val="000000"/>
                <w:sz w:val="22"/>
              </w:rPr>
              <w:t>Контакт</w:t>
            </w:r>
          </w:p>
        </w:tc>
        <w:tc>
          <w:tcPr>
            <w:tcW w:type="dxa" w:w="71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color w:val="000000"/>
                <w:sz w:val="22"/>
              </w:rPr>
              <w:t>info@legalflow-expert.ru</w:t>
            </w:r>
          </w:p>
        </w:tc>
      </w:tr>
    </w:tbl>
    <w:p/>
    <w:p>
      <w:pPr>
        <w:pStyle w:val="Heading1"/>
      </w:pPr>
      <w:r>
        <w:t>1. Назначение и область применения</w:t>
      </w:r>
    </w:p>
    <w:p>
      <w:r>
        <w:rPr>
          <w:rFonts w:ascii="Arial" w:hAnsi="Arial" w:eastAsia="Arial"/>
          <w:b w:val="0"/>
          <w:color w:val="000000"/>
          <w:sz w:val="22"/>
        </w:rPr>
        <w:t>Настоящая Политика определяет организационные и технические меры, применяемые адвокатским кабинетом адвоката Оксаны Петровской для обеспечения безопасности персональных данных при их обработке на сайте LegalFlow Expert, при получении обращений, подготовке консультаций, заключении и исполнении соглашений об оказании юридической помощи.</w:t>
      </w:r>
    </w:p>
    <w:p>
      <w:r>
        <w:rPr>
          <w:rFonts w:ascii="Arial" w:hAnsi="Arial" w:eastAsia="Arial"/>
          <w:b w:val="0"/>
          <w:color w:val="000000"/>
          <w:sz w:val="22"/>
        </w:rPr>
        <w:t>Политика применяется к персональным данным доверителей, заявителей, представителей организаций, контрагентов, подписчиков, посетителей сайта и иных лиц, сведения о которых поступают в адвокатский кабинет в связи с обращением за юридической помощью или коммуникацией через сайт.</w:t>
      </w:r>
    </w:p>
    <w:p>
      <w:r>
        <w:rPr>
          <w:rFonts w:ascii="Arial" w:hAnsi="Arial" w:eastAsia="Arial"/>
          <w:b w:val="0"/>
          <w:color w:val="000000"/>
          <w:sz w:val="22"/>
        </w:rPr>
        <w:t>Если сведения связаны с обращением за юридической помощью или ее оказанием, к ним дополнительно применяется режим адвокатской тайны. Такой режим имеет приоритет при выборе способов доступа, хранения, передачи и уничтожения материалов.</w:t>
      </w:r>
    </w:p>
    <w:p>
      <w:pPr>
        <w:pStyle w:val="Heading1"/>
      </w:pPr>
      <w:r>
        <w:t>2. Нормативная основа</w:t>
      </w:r>
    </w:p>
    <w:p>
      <w:r>
        <w:rPr>
          <w:rFonts w:ascii="Arial" w:hAnsi="Arial" w:eastAsia="Arial"/>
          <w:b w:val="0"/>
          <w:color w:val="000000"/>
          <w:sz w:val="22"/>
        </w:rPr>
        <w:t>Политика разработана с учетом Федерального закона от 27.07.2006 № 152-ФЗ «О персональных данных», Федерального закона от 31.05.2002 № 63-ФЗ «Об адвокатской деятельности и адвокатуре в Российской Федерации», Кодекса профессиональной этики адвоката, постановления Правительства РФ от 01.11.2012 № 1119, постановления Правительства РФ от 15.09.2008 № 687 и приказа ФСТЭК России от 18.02.2013 № 21.</w:t>
      </w:r>
    </w:p>
    <w:p>
      <w:r>
        <w:rPr>
          <w:rFonts w:ascii="Arial" w:hAnsi="Arial" w:eastAsia="Arial"/>
          <w:b w:val="0"/>
          <w:color w:val="000000"/>
          <w:sz w:val="22"/>
        </w:rPr>
        <w:t>Политика используется совместно с опубликованной на сайте политикой обработки персональных данных, соглашениями с доверителями, правилами хранения адвокатских производств и внутренними мерами контроля доступа к материалам.</w:t>
      </w:r>
    </w:p>
    <w:p>
      <w:pPr>
        <w:pStyle w:val="Heading1"/>
      </w:pPr>
      <w:r>
        <w:t>3. Цели защиты персональных данных</w:t>
      </w:r>
    </w:p>
    <w:p>
      <w:r>
        <w:rPr>
          <w:rFonts w:ascii="Arial" w:hAnsi="Arial" w:eastAsia="Arial"/>
          <w:b w:val="0"/>
          <w:color w:val="000000"/>
          <w:sz w:val="22"/>
        </w:rPr>
        <w:t>Основные цели обеспечения безопасности персональных данных: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предотвращение неправомерного или случайного доступа к персональным данным;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исключение уничтожения, изменения, блокирования, копирования, предоставления или распространения персональных данных без правового основания;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сохранение адвокатской тайны и конфиденциальности сведений, полученных от доверителей;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обеспечение целостности и доступности данных, необходимых для оказания юридической помощи;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своевременное выявление и реагирование на инциденты безопасности.</w:t>
      </w:r>
    </w:p>
    <w:p>
      <w:pPr>
        <w:pStyle w:val="Heading1"/>
      </w:pPr>
      <w:r>
        <w:t>4. Категории данных и источники поступления</w:t>
      </w:r>
    </w:p>
    <w:p>
      <w:r>
        <w:rPr>
          <w:rFonts w:ascii="Arial" w:hAnsi="Arial" w:eastAsia="Arial"/>
          <w:b w:val="0"/>
          <w:color w:val="000000"/>
          <w:sz w:val="22"/>
        </w:rPr>
        <w:t>В адвокатском кабинете могут обрабатываться фамилия, имя, отчество, контактные данные, сведения о компании или статусе заявителя, содержание обращения, документы и материалы, предоставленные доверителем или его представителем, платежная и договорная информация, а также технические сведения о взаимодействии с сайтом.</w:t>
      </w:r>
    </w:p>
    <w:p>
      <w:r>
        <w:rPr>
          <w:rFonts w:ascii="Arial" w:hAnsi="Arial" w:eastAsia="Arial"/>
          <w:b w:val="0"/>
          <w:color w:val="000000"/>
          <w:sz w:val="22"/>
        </w:rPr>
        <w:t>Специальные категории персональных данных, сведения о судимости, процессуальные материалы, медицинские, финансовые и иные чувствительные сведения обрабатываются только если они необходимы для анализа правовой ситуации, защиты прав доверителя, подготовки позиции или исполнения требований закона.</w:t>
      </w:r>
    </w:p>
    <w:p>
      <w:r>
        <w:rPr>
          <w:rFonts w:ascii="Arial" w:hAnsi="Arial" w:eastAsia="Arial"/>
          <w:b w:val="0"/>
          <w:color w:val="000000"/>
          <w:sz w:val="22"/>
        </w:rPr>
        <w:t>Персональные данные поступают через формы сайта, электронную почту, мессенджеры, личные встречи, документы доверителей, открытые источники, государственные и судебные информационные системы, а также от представителей доверителей при наличии правового основания.</w:t>
      </w:r>
    </w:p>
    <w:p>
      <w:pPr>
        <w:pStyle w:val="Heading1"/>
      </w:pPr>
      <w:r>
        <w:t>5. Принципы безопасности и конфиденциальности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доступ к персональным данным предоставляется только при наличии служебной или профессиональной необходимости;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объем обрабатываемых данных ограничивается целями обращения и оказания юридической помощи;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материалы адвокатского производства хранятся отдельно от общедоступных и маркетинговых материалов;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передача данных третьим лицам допускается только при наличии правового основания, поручения доверителя, согласия субъекта данных или обязанности, установленной законом;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пароли, ключи доступа, токены, архивы документов и резервные копии не размещаются в открытом доступе;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при публикации кейсов, статей и аналитики используются обезличивание, согласование с доверителем или сведения из законно открытых источников.</w:t>
      </w:r>
    </w:p>
    <w:p>
      <w:pPr>
        <w:pStyle w:val="Heading1"/>
      </w:pPr>
      <w:r>
        <w:t>6. Организационные меры защиты</w:t>
      </w:r>
    </w:p>
    <w:p>
      <w:r>
        <w:rPr>
          <w:rFonts w:ascii="Arial" w:hAnsi="Arial" w:eastAsia="Arial"/>
          <w:b w:val="0"/>
          <w:color w:val="000000"/>
          <w:sz w:val="22"/>
        </w:rPr>
        <w:t>В адвокатском кабинете применяются следующие организационные меры: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назначение адвоката ответственным за организацию обработки и защиты персональных данных;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ведение перечня используемых сервисов, каналов коммуникации и мест хранения материалов;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разграничение доступа к материалам по принципу минимально необходимого доступа;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проверка подрядчиков и сервисов, которым может поручаться обработка данных;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включение условий конфиденциальности и защиты персональных данных в договоры с подрядчиками;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контроль актуальности документов по персональным данным и периодический пересмотр мер безопасности;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обучение помощников, привлеченных специалистов и подрядчиков правилам конфиденциальности, если им предоставляется доступ к данным.</w:t>
      </w:r>
    </w:p>
    <w:p>
      <w:pPr>
        <w:pStyle w:val="Heading1"/>
      </w:pPr>
      <w:r>
        <w:t>7. Технические меры защиты</w:t>
      </w:r>
    </w:p>
    <w:p>
      <w:r>
        <w:rPr>
          <w:rFonts w:ascii="Arial" w:hAnsi="Arial" w:eastAsia="Arial"/>
          <w:b w:val="0"/>
          <w:color w:val="000000"/>
          <w:sz w:val="22"/>
        </w:rPr>
        <w:t>С учетом масштаба обработки и характера данных применяются следующие технические меры: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использование индивидуальных учетных записей и сложных паролей;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применение многофакторной аутентификации там, где это поддерживается сервисом;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ограничение административного доступа к сайту, хостингу, почте, CRM и хранилищам документов;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использование защищенного соединения HTTPS для сайта и форм обратной связи;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резервное копирование материалов, необходимых для непрерывности работы;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обновление программного обеспечения и контроль уязвимостей используемых сервисов;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антивирусная защита и блокировка устройств, на которых обрабатываются материалы доверителей;</w:t>
      </w:r>
    </w:p>
    <w:p>
      <w:pPr>
        <w:pStyle w:val="ListBullet"/>
      </w:pPr>
      <w:r>
        <w:rPr>
          <w:rFonts w:ascii="Arial" w:hAnsi="Arial" w:eastAsia="Arial"/>
          <w:b w:val="0"/>
          <w:color w:val="000000"/>
          <w:sz w:val="22"/>
        </w:rPr>
        <w:t>шифрование или парольная защита архивов при передаче чувствительных документов по электронным каналам.</w:t>
      </w:r>
    </w:p>
    <w:p>
      <w:pPr>
        <w:pStyle w:val="Heading1"/>
      </w:pPr>
      <w:r>
        <w:t>8. Бумажные документы и неавтоматизированная обработка</w:t>
      </w:r>
    </w:p>
    <w:p>
      <w:r>
        <w:rPr>
          <w:rFonts w:ascii="Arial" w:hAnsi="Arial" w:eastAsia="Arial"/>
          <w:b w:val="0"/>
          <w:color w:val="000000"/>
          <w:sz w:val="22"/>
        </w:rPr>
        <w:t>Бумажные документы, содержащие персональные данные и сведения, составляющие адвокатскую тайну, хранятся в местах, исключающих свободный доступ посторонних лиц. Материалы по разным доверителям обособляются друг от друга.</w:t>
      </w:r>
    </w:p>
    <w:p>
      <w:r>
        <w:rPr>
          <w:rFonts w:ascii="Arial" w:hAnsi="Arial" w:eastAsia="Arial"/>
          <w:b w:val="0"/>
          <w:color w:val="000000"/>
          <w:sz w:val="22"/>
        </w:rPr>
        <w:t>Передача бумажных копий третьим лицам осуществляется только при наличии правового основания. Уничтожение бумажных документов производится способом, исключающим восстановление содержащихся в них персональных данных, если истек срок хранения или отпала необходимость в их обработке.</w:t>
      </w:r>
    </w:p>
    <w:p>
      <w:pPr>
        <w:pStyle w:val="Heading1"/>
      </w:pPr>
      <w:r>
        <w:t>9. Передача данных и поручение обработки</w:t>
      </w:r>
    </w:p>
    <w:p>
      <w:r>
        <w:rPr>
          <w:rFonts w:ascii="Arial" w:hAnsi="Arial" w:eastAsia="Arial"/>
          <w:b w:val="0"/>
          <w:color w:val="000000"/>
          <w:sz w:val="22"/>
        </w:rPr>
        <w:t>Для обеспечения сайта, коммуникаций, хранения файлов, бухгалтерского и организационного сопровождения могут использоваться внешние сервисы и подрядчики. Передача им персональных данных допускается только в объеме, необходимом для конкретной цели.</w:t>
      </w:r>
    </w:p>
    <w:p>
      <w:r>
        <w:rPr>
          <w:rFonts w:ascii="Arial" w:hAnsi="Arial" w:eastAsia="Arial"/>
          <w:b w:val="0"/>
          <w:color w:val="000000"/>
          <w:sz w:val="22"/>
        </w:rPr>
        <w:t>Если подрядчик получает доступ к персональным данным, с ним должны быть согласованы обязанности по конфиденциальности, защите данных, ограничению целей обработки, возврату или уничтожению данных по завершении работ. Материалы, относящиеся к адвокатской тайне, передаются внешним лицам только при наличии профессиональной необходимости и допустимого правового основания.</w:t>
      </w:r>
    </w:p>
    <w:p>
      <w:pPr>
        <w:pStyle w:val="Heading1"/>
      </w:pPr>
      <w:r>
        <w:t>10. Инциденты безопасности</w:t>
      </w:r>
    </w:p>
    <w:p>
      <w:r>
        <w:rPr>
          <w:rFonts w:ascii="Arial" w:hAnsi="Arial" w:eastAsia="Arial"/>
          <w:b w:val="0"/>
          <w:color w:val="000000"/>
          <w:sz w:val="22"/>
        </w:rPr>
        <w:t>При выявлении утраты документов, ошибочной отправки, подозрения на несанкционированный доступ, компрометации пароля или иной угрозы безопасности принимаются меры по локализации инцидента, ограничению доступа, восстановлению контроля над данными и оценке последствий.</w:t>
      </w:r>
    </w:p>
    <w:p>
      <w:r>
        <w:rPr>
          <w:rFonts w:ascii="Arial" w:hAnsi="Arial" w:eastAsia="Arial"/>
          <w:b w:val="0"/>
          <w:color w:val="000000"/>
          <w:sz w:val="22"/>
        </w:rPr>
        <w:t>Если инцидент может затрагивать права субъектов персональных данных, адвокатский кабинет принимает меры, предусмотренные законодательством о персональных данных, включая фиксацию обстоятельств, устранение причин и направление уведомлений в необходимых случаях.</w:t>
      </w:r>
    </w:p>
    <w:p>
      <w:pPr>
        <w:pStyle w:val="Heading1"/>
      </w:pPr>
      <w:r>
        <w:t>11. Сроки хранения и уничтожение</w:t>
      </w:r>
    </w:p>
    <w:p>
      <w:r>
        <w:rPr>
          <w:rFonts w:ascii="Arial" w:hAnsi="Arial" w:eastAsia="Arial"/>
          <w:b w:val="0"/>
          <w:color w:val="000000"/>
          <w:sz w:val="22"/>
        </w:rPr>
        <w:t>Персональные данные хранятся не дольше, чем этого требуют цели обработки, условия соглашения с доверителем, правила ведения адвокатского производства, требования законодательства, сроки исковой давности и профессиональная необходимость защиты прав доверителя или адвоката.</w:t>
      </w:r>
    </w:p>
    <w:p>
      <w:r>
        <w:rPr>
          <w:rFonts w:ascii="Arial" w:hAnsi="Arial" w:eastAsia="Arial"/>
          <w:b w:val="0"/>
          <w:color w:val="000000"/>
          <w:sz w:val="22"/>
        </w:rPr>
        <w:t>По достижении целей обработки либо при утрате правового основания данные уничтожаются, обезличиваются или архивируются с ограничением доступа, если дальнейшее хранение допустимо законом и необходимо для защиты прав и законных интересов.</w:t>
      </w:r>
    </w:p>
    <w:p>
      <w:pPr>
        <w:pStyle w:val="Heading1"/>
      </w:pPr>
      <w:r>
        <w:t>12. Контроль и актуализация</w:t>
      </w:r>
    </w:p>
    <w:p>
      <w:r>
        <w:rPr>
          <w:rFonts w:ascii="Arial" w:hAnsi="Arial" w:eastAsia="Arial"/>
          <w:b w:val="0"/>
          <w:color w:val="000000"/>
          <w:sz w:val="22"/>
        </w:rPr>
        <w:t>Адвокатский кабинет периодически проверяет актуальность настоящей Политики, перечня обрабатываемых данных, используемых сервисов и мер защиты. Изменения в Политику вносятся при изменении законодательства, состава сервисов, способов обработки данных или характера юридической практики.</w:t>
      </w:r>
    </w:p>
    <w:p>
      <w:r>
        <w:rPr>
          <w:rFonts w:ascii="Arial" w:hAnsi="Arial" w:eastAsia="Arial"/>
          <w:b w:val="0"/>
          <w:color w:val="000000"/>
          <w:sz w:val="22"/>
        </w:rPr>
        <w:t>Актуальная публичная редакция Политики размещается на сайте LegalFlow Expert.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555555"/>
        <w:sz w:val="18"/>
      </w:rPr>
      <w:t>Легал Флоу / LegalFlow Expert · Политика безопасности персональных данных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 w:eastAsia="Arial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 w:eastAsia="Arial"/>
      <w:b w:val="0"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 w:eastAsia="Arial"/>
      <w:b w:val="0"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